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bookmarkStart w:id="0" w:name="_GoBack"/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各功能点的响应情况、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免费维保期后维保费率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产品功能、完整性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可用性、易用性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兼容性、开放性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对硬件、耗材要求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实施周期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微软雅黑" w:hAnsi="微软雅黑" w:eastAsia="微软雅黑" w:cs="宋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主要基于项目需求进行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服务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方案介绍、项目实施可达到的效果、优势、典型用户（三甲医院）案例等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（1）视频格式（PPT汇报</w:t>
            </w:r>
            <w:r>
              <w:rPr>
                <w:rFonts w:ascii="微软雅黑" w:hAnsi="微软雅黑" w:eastAsia="微软雅黑"/>
                <w:szCs w:val="21"/>
              </w:rPr>
              <w:t>录屏</w:t>
            </w:r>
            <w:r>
              <w:rPr>
                <w:rFonts w:hint="eastAsia" w:ascii="微软雅黑" w:hAnsi="微软雅黑" w:eastAsia="微软雅黑"/>
                <w:szCs w:val="21"/>
              </w:rPr>
              <w:t>）</w:t>
            </w:r>
          </w:p>
          <w:p>
            <w:pPr>
              <w:spacing w:line="400" w:lineRule="exact"/>
              <w:rPr>
                <w:rFonts w:hint="eastAsia" w:ascii="微软雅黑" w:hAnsi="微软雅黑" w:eastAsia="微软雅黑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</w:t>
            </w:r>
            <w:r>
              <w:rPr>
                <w:rFonts w:ascii="微软雅黑" w:hAnsi="微软雅黑" w:eastAsia="微软雅黑"/>
                <w:szCs w:val="21"/>
              </w:rPr>
              <w:t>3分钟（切勿超时）的产品及方案介绍视频（主要基于项目需求进行产品及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</w:p>
        </w:tc>
      </w:tr>
      <w:bookmarkEnd w:id="0"/>
    </w:tbl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mViMzlkMGY5NzgwZDFiNzZkZThiMGQwMzk2MTA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11F624FE"/>
    <w:rsid w:val="210C1D65"/>
    <w:rsid w:val="283B7254"/>
    <w:rsid w:val="53582248"/>
    <w:rsid w:val="5E1C1D77"/>
    <w:rsid w:val="7F743B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411</Words>
  <Characters>455</Characters>
  <Lines>3</Lines>
  <Paragraphs>1</Paragraphs>
  <TotalTime>0</TotalTime>
  <ScaleCrop>false</ScaleCrop>
  <LinksUpToDate>false</LinksUpToDate>
  <CharactersWithSpaces>455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睿</cp:lastModifiedBy>
  <dcterms:modified xsi:type="dcterms:W3CDTF">2024-07-02T01:27:33Z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733E1386238C48989F07996C28C8B0FE</vt:lpwstr>
  </property>
</Properties>
</file>